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AC56" w14:textId="77777777" w:rsidR="00E144C2" w:rsidRDefault="00E144C2" w:rsidP="00E144C2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43024D2A" w14:textId="77777777" w:rsidR="00E144C2" w:rsidRDefault="00E144C2" w:rsidP="00E144C2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  <w:t>Vik kyrkjelege fellesråd</w:t>
      </w:r>
    </w:p>
    <w:p w14:paraId="4A5709A4" w14:textId="77777777" w:rsidR="00E144C2" w:rsidRPr="0016409B" w:rsidRDefault="00E144C2" w:rsidP="00E144C2">
      <w:pPr>
        <w:rPr>
          <w:sz w:val="28"/>
          <w:szCs w:val="28"/>
        </w:rPr>
      </w:pPr>
      <w:r w:rsidRPr="0016409B">
        <w:rPr>
          <w:sz w:val="28"/>
          <w:szCs w:val="28"/>
        </w:rPr>
        <w:t>Møtestad:</w:t>
      </w:r>
      <w:r w:rsidRPr="0016409B">
        <w:rPr>
          <w:sz w:val="28"/>
          <w:szCs w:val="28"/>
        </w:rPr>
        <w:tab/>
        <w:t xml:space="preserve"> Vik  kommunehus, kantina</w:t>
      </w:r>
    </w:p>
    <w:p w14:paraId="0819BA10" w14:textId="52D0A644" w:rsidR="00E144C2" w:rsidRPr="0016409B" w:rsidRDefault="00E144C2" w:rsidP="00E144C2">
      <w:pPr>
        <w:rPr>
          <w:sz w:val="28"/>
          <w:szCs w:val="28"/>
        </w:rPr>
      </w:pPr>
      <w:r w:rsidRPr="0016409B">
        <w:rPr>
          <w:sz w:val="28"/>
          <w:szCs w:val="28"/>
        </w:rPr>
        <w:t>Møtedato:</w:t>
      </w:r>
      <w:r w:rsidRPr="0016409B">
        <w:rPr>
          <w:sz w:val="28"/>
          <w:szCs w:val="28"/>
        </w:rPr>
        <w:tab/>
        <w:t>2</w:t>
      </w:r>
      <w:r>
        <w:rPr>
          <w:sz w:val="28"/>
          <w:szCs w:val="28"/>
        </w:rPr>
        <w:t>1.1.25</w:t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</w:r>
      <w:r w:rsidRPr="0016409B">
        <w:rPr>
          <w:sz w:val="28"/>
          <w:szCs w:val="28"/>
        </w:rPr>
        <w:tab/>
        <w:t xml:space="preserve">Start </w:t>
      </w:r>
      <w:proofErr w:type="spellStart"/>
      <w:r w:rsidRPr="0016409B">
        <w:rPr>
          <w:sz w:val="28"/>
          <w:szCs w:val="28"/>
        </w:rPr>
        <w:t>kl</w:t>
      </w:r>
      <w:proofErr w:type="spellEnd"/>
      <w:r w:rsidRPr="0016409B">
        <w:rPr>
          <w:sz w:val="28"/>
          <w:szCs w:val="28"/>
        </w:rPr>
        <w:t xml:space="preserve">  09.00-11.00</w:t>
      </w:r>
      <w:r w:rsidRPr="0016409B">
        <w:rPr>
          <w:sz w:val="28"/>
          <w:szCs w:val="28"/>
        </w:rPr>
        <w:br/>
        <w:t>_________________________________________________________________</w:t>
      </w:r>
    </w:p>
    <w:p w14:paraId="5E03B75A" w14:textId="6F912560" w:rsidR="00E144C2" w:rsidRPr="0016409B" w:rsidRDefault="00E144C2" w:rsidP="00E144C2">
      <w:r w:rsidRPr="0016409B">
        <w:rPr>
          <w:b/>
          <w:sz w:val="24"/>
          <w:szCs w:val="24"/>
        </w:rPr>
        <w:t xml:space="preserve">Til stades: </w:t>
      </w:r>
      <w:r w:rsidRPr="0016409B">
        <w:t xml:space="preserve">Turid Kristine Brekke, Brita Sissel Turvoll, </w:t>
      </w:r>
      <w:r>
        <w:t xml:space="preserve"> </w:t>
      </w:r>
      <w:r>
        <w:rPr>
          <w:sz w:val="24"/>
          <w:szCs w:val="24"/>
        </w:rPr>
        <w:t xml:space="preserve">Solrun Skogheim, </w:t>
      </w:r>
      <w:r w:rsidRPr="006D434F">
        <w:rPr>
          <w:sz w:val="24"/>
          <w:szCs w:val="24"/>
        </w:rPr>
        <w:t>Roy Egil Stadheim</w:t>
      </w:r>
      <w:r w:rsidRPr="00E144C2">
        <w:t xml:space="preserve"> </w:t>
      </w:r>
      <w:r>
        <w:rPr>
          <w:sz w:val="24"/>
          <w:szCs w:val="24"/>
        </w:rPr>
        <w:t xml:space="preserve">og </w:t>
      </w:r>
      <w:r w:rsidRPr="0016409B">
        <w:t>Karen Melhus</w:t>
      </w:r>
      <w:r>
        <w:t>.</w:t>
      </w:r>
    </w:p>
    <w:p w14:paraId="4F9DD2BC" w14:textId="2B963B9F" w:rsidR="00E144C2" w:rsidRDefault="00E144C2" w:rsidP="00E144C2">
      <w:pPr>
        <w:rPr>
          <w:sz w:val="24"/>
          <w:szCs w:val="24"/>
        </w:rPr>
      </w:pPr>
      <w:r w:rsidRPr="00AA3C9C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Fråvær: </w:t>
      </w:r>
      <w:proofErr w:type="spellStart"/>
      <w:r w:rsidRPr="0016409B">
        <w:t>Nann</w:t>
      </w:r>
      <w:proofErr w:type="spellEnd"/>
      <w:r w:rsidRPr="0016409B">
        <w:t xml:space="preserve"> Ingunn Simlenes</w:t>
      </w:r>
      <w:r>
        <w:t xml:space="preserve">, </w:t>
      </w:r>
      <w:r w:rsidRPr="00E144C2">
        <w:t xml:space="preserve"> </w:t>
      </w:r>
      <w:r>
        <w:t>Endre Nese</w:t>
      </w:r>
    </w:p>
    <w:p w14:paraId="74AA445F" w14:textId="34796198" w:rsidR="00E144C2" w:rsidRDefault="00E144C2" w:rsidP="00E144C2">
      <w:pPr>
        <w:rPr>
          <w:b/>
          <w:bCs/>
        </w:rPr>
      </w:pPr>
      <w:r w:rsidRPr="00162404">
        <w:rPr>
          <w:b/>
          <w:bCs/>
        </w:rPr>
        <w:t>Sak</w:t>
      </w:r>
      <w:r>
        <w:rPr>
          <w:b/>
          <w:bCs/>
        </w:rPr>
        <w:t xml:space="preserve"> 1/25</w:t>
      </w:r>
      <w:r w:rsidRPr="00162404">
        <w:rPr>
          <w:b/>
          <w:bCs/>
        </w:rPr>
        <w:t xml:space="preserve"> Godkjenning av innkalling og sakliste.</w:t>
      </w:r>
    </w:p>
    <w:p w14:paraId="430DD4B1" w14:textId="77777777" w:rsidR="00E144C2" w:rsidRPr="00AA3C9C" w:rsidRDefault="00E144C2" w:rsidP="00E144C2">
      <w:r w:rsidRPr="00AA3C9C">
        <w:t>Samrøysta godkjent utan merknad</w:t>
      </w:r>
    </w:p>
    <w:p w14:paraId="04A55E99" w14:textId="72745BB6" w:rsidR="00E144C2" w:rsidRDefault="00E144C2" w:rsidP="00E144C2">
      <w:pPr>
        <w:rPr>
          <w:b/>
          <w:bCs/>
        </w:rPr>
      </w:pPr>
      <w:r w:rsidRPr="00162404">
        <w:rPr>
          <w:b/>
          <w:bCs/>
        </w:rPr>
        <w:t xml:space="preserve">Sak </w:t>
      </w:r>
      <w:r>
        <w:rPr>
          <w:b/>
          <w:bCs/>
        </w:rPr>
        <w:t>2/25</w:t>
      </w:r>
      <w:r w:rsidRPr="00162404">
        <w:rPr>
          <w:b/>
          <w:bCs/>
        </w:rPr>
        <w:t xml:space="preserve"> Godkjenning av referat frå møtet</w:t>
      </w:r>
      <w:r>
        <w:rPr>
          <w:b/>
          <w:bCs/>
        </w:rPr>
        <w:t xml:space="preserve"> 23.10.24</w:t>
      </w:r>
    </w:p>
    <w:p w14:paraId="572AD452" w14:textId="77777777" w:rsidR="00E144C2" w:rsidRPr="00162404" w:rsidRDefault="00E144C2" w:rsidP="00E144C2">
      <w:pPr>
        <w:rPr>
          <w:b/>
          <w:bCs/>
        </w:rPr>
      </w:pPr>
      <w:r w:rsidRPr="00AA3C9C">
        <w:t>Samrøysta godkjent utan merknad</w:t>
      </w:r>
    </w:p>
    <w:p w14:paraId="2120253C" w14:textId="13E4D8EB" w:rsidR="00E144C2" w:rsidRPr="005D2FCA" w:rsidRDefault="00E144C2" w:rsidP="00E144C2">
      <w:pPr>
        <w:rPr>
          <w:b/>
          <w:bCs/>
        </w:rPr>
      </w:pPr>
      <w:r w:rsidRPr="005D2FCA">
        <w:rPr>
          <w:b/>
          <w:bCs/>
        </w:rPr>
        <w:t xml:space="preserve">Sak </w:t>
      </w:r>
      <w:r>
        <w:rPr>
          <w:b/>
          <w:bCs/>
        </w:rPr>
        <w:t xml:space="preserve">3/25 </w:t>
      </w:r>
      <w:r w:rsidRPr="005D2FCA">
        <w:rPr>
          <w:b/>
          <w:bCs/>
        </w:rPr>
        <w:t xml:space="preserve"> Orienteringssaker  </w:t>
      </w:r>
    </w:p>
    <w:p w14:paraId="5AA00502" w14:textId="0B348D34" w:rsidR="00E669FF" w:rsidRDefault="00E144C2" w:rsidP="00E669FF">
      <w:pPr>
        <w:pStyle w:val="Listeavsnitt"/>
        <w:numPr>
          <w:ilvl w:val="0"/>
          <w:numId w:val="1"/>
        </w:numPr>
        <w:spacing w:after="160" w:line="259" w:lineRule="auto"/>
      </w:pPr>
      <w:r>
        <w:t xml:space="preserve"> </w:t>
      </w:r>
      <w:r w:rsidR="00E669FF">
        <w:t>Orientering om tilsette og  stillingar</w:t>
      </w:r>
    </w:p>
    <w:p w14:paraId="4D557270" w14:textId="74A31F1B" w:rsidR="00E669FF" w:rsidRDefault="00E669FF" w:rsidP="00E669FF">
      <w:pPr>
        <w:pStyle w:val="Listeavsnitt"/>
        <w:numPr>
          <w:ilvl w:val="1"/>
          <w:numId w:val="1"/>
        </w:numPr>
        <w:spacing w:after="160" w:line="259" w:lineRule="auto"/>
      </w:pPr>
      <w:r>
        <w:t xml:space="preserve">Karen Melhus går ut i permisjon 9.4.25 og Rasmus Bolstad  vert vikar i </w:t>
      </w:r>
      <w:proofErr w:type="spellStart"/>
      <w:r>
        <w:t>soknepreststillinga</w:t>
      </w:r>
      <w:proofErr w:type="spellEnd"/>
      <w:r>
        <w:t xml:space="preserve"> i 70 %.  Han held fram som 30 % fengselsprest. Ytterlegare prestevikar vert organisert av Prost. Rasmus går ut av rolla som </w:t>
      </w:r>
      <w:proofErr w:type="spellStart"/>
      <w:r>
        <w:t>trusopplærar</w:t>
      </w:r>
      <w:proofErr w:type="spellEnd"/>
      <w:r>
        <w:t xml:space="preserve"> frå april.</w:t>
      </w:r>
    </w:p>
    <w:p w14:paraId="47ED07D3" w14:textId="77777777" w:rsidR="00E669FF" w:rsidRDefault="00E669FF" w:rsidP="00E669FF">
      <w:pPr>
        <w:pStyle w:val="Listeavsnitt"/>
        <w:numPr>
          <w:ilvl w:val="0"/>
          <w:numId w:val="1"/>
        </w:numPr>
        <w:spacing w:after="160" w:line="259" w:lineRule="auto"/>
      </w:pPr>
      <w:r>
        <w:t xml:space="preserve"> Rapport prosjekt TAK</w:t>
      </w:r>
    </w:p>
    <w:p w14:paraId="261303D9" w14:textId="173D0CD0" w:rsidR="00E669FF" w:rsidRPr="00E669FF" w:rsidRDefault="00E669FF" w:rsidP="00E669FF">
      <w:pPr>
        <w:pStyle w:val="Listeavsnitt"/>
        <w:numPr>
          <w:ilvl w:val="1"/>
          <w:numId w:val="1"/>
        </w:numPr>
        <w:spacing w:after="160" w:line="259" w:lineRule="auto"/>
      </w:pPr>
      <w:r>
        <w:t xml:space="preserve">Detaljprosjektering ferdig når det gjeld Vangsnes kyrkjetak. </w:t>
      </w:r>
      <w:r w:rsidRPr="00E669FF">
        <w:t>Søknad er sendt til Bjørgvin bispedøme.  Me arbeider utifrå at tiltak vert</w:t>
      </w:r>
      <w:r>
        <w:t xml:space="preserve"> utført i 2025.</w:t>
      </w:r>
    </w:p>
    <w:p w14:paraId="6B520B48" w14:textId="77777777" w:rsidR="00E669FF" w:rsidRDefault="00E669FF" w:rsidP="00E669FF">
      <w:pPr>
        <w:pStyle w:val="Listeavsnitt"/>
        <w:numPr>
          <w:ilvl w:val="0"/>
          <w:numId w:val="1"/>
        </w:numPr>
        <w:spacing w:after="160" w:line="259" w:lineRule="auto"/>
      </w:pPr>
      <w:r>
        <w:t>Status på Arnafjord gravplass</w:t>
      </w:r>
    </w:p>
    <w:p w14:paraId="1F9C0ABB" w14:textId="36009C62" w:rsidR="00E669FF" w:rsidRPr="00E669FF" w:rsidRDefault="00E669FF" w:rsidP="00E669FF">
      <w:pPr>
        <w:pStyle w:val="Listeavsnitt"/>
        <w:numPr>
          <w:ilvl w:val="1"/>
          <w:numId w:val="1"/>
        </w:numPr>
        <w:spacing w:after="160" w:line="259" w:lineRule="auto"/>
      </w:pPr>
      <w:r w:rsidRPr="00E669FF">
        <w:t>Prosessen med utgliding av deler av gravplassen har vorte forsterka i vinter. Før me kan søke statsforvaltaren om løyve t</w:t>
      </w:r>
      <w:r>
        <w:t>il utbetring, må me  ha framlegg til tiltak klart. Det vert arbeidd med dette så fort me har kapasitet og vinteren kjem på hell.</w:t>
      </w:r>
    </w:p>
    <w:p w14:paraId="4587BCFF" w14:textId="77777777" w:rsidR="00E669FF" w:rsidRDefault="00E669FF" w:rsidP="00E669FF">
      <w:pPr>
        <w:pStyle w:val="Listeavsnitt"/>
        <w:numPr>
          <w:ilvl w:val="0"/>
          <w:numId w:val="1"/>
        </w:numPr>
        <w:spacing w:after="160" w:line="259" w:lineRule="auto"/>
      </w:pPr>
      <w:r>
        <w:t>Kyrkjedører og «levande kyrkjebygg»</w:t>
      </w:r>
    </w:p>
    <w:p w14:paraId="7B914E47" w14:textId="74F8F8AF" w:rsidR="00E669FF" w:rsidRDefault="00E669FF" w:rsidP="00E669FF">
      <w:pPr>
        <w:pStyle w:val="Listeavsnitt"/>
        <w:numPr>
          <w:ilvl w:val="1"/>
          <w:numId w:val="1"/>
        </w:numPr>
        <w:spacing w:after="160" w:line="259" w:lineRule="auto"/>
      </w:pPr>
      <w:r>
        <w:t>Kyrkjedøra i Fresvik på plass og passar igjen opp mot anna treverk. Viktig å hugse at det er «levande» kyrkjebygg som endrar seg ved temperatur og vær. Fresvik sokn er svært nøgd med den nyoppussa døra!</w:t>
      </w:r>
    </w:p>
    <w:p w14:paraId="12141846" w14:textId="77777777" w:rsidR="00901B6A" w:rsidRDefault="00901B6A" w:rsidP="00E669FF">
      <w:pPr>
        <w:rPr>
          <w:b/>
          <w:bCs/>
        </w:rPr>
      </w:pPr>
    </w:p>
    <w:p w14:paraId="075BD9EC" w14:textId="77777777" w:rsidR="00901B6A" w:rsidRDefault="00901B6A" w:rsidP="00E669FF">
      <w:pPr>
        <w:rPr>
          <w:b/>
          <w:bCs/>
        </w:rPr>
      </w:pPr>
    </w:p>
    <w:p w14:paraId="57C7A820" w14:textId="77777777" w:rsidR="00901B6A" w:rsidRDefault="00901B6A" w:rsidP="00E669FF">
      <w:pPr>
        <w:rPr>
          <w:b/>
          <w:bCs/>
        </w:rPr>
      </w:pPr>
    </w:p>
    <w:p w14:paraId="036A5596" w14:textId="2EA3AA43" w:rsidR="00E669FF" w:rsidRDefault="00E669FF" w:rsidP="00E669FF">
      <w:pPr>
        <w:rPr>
          <w:b/>
          <w:bCs/>
        </w:rPr>
      </w:pPr>
      <w:r w:rsidRPr="00A27824">
        <w:rPr>
          <w:b/>
          <w:bCs/>
        </w:rPr>
        <w:lastRenderedPageBreak/>
        <w:t xml:space="preserve">Sak 4/25 </w:t>
      </w:r>
      <w:r w:rsidRPr="00A27824">
        <w:rPr>
          <w:b/>
          <w:bCs/>
        </w:rPr>
        <w:tab/>
        <w:t xml:space="preserve">Val av leiar og nestleiar  </w:t>
      </w:r>
    </w:p>
    <w:p w14:paraId="60DC4125" w14:textId="460F14F6" w:rsidR="00E669FF" w:rsidRDefault="00E669FF" w:rsidP="00E669FF">
      <w:pPr>
        <w:rPr>
          <w:b/>
          <w:bCs/>
        </w:rPr>
      </w:pPr>
      <w:r>
        <w:rPr>
          <w:b/>
          <w:bCs/>
        </w:rPr>
        <w:t>Samrøysta vedtak:</w:t>
      </w:r>
    </w:p>
    <w:p w14:paraId="6C05DC24" w14:textId="3566085F" w:rsidR="00E669FF" w:rsidRPr="00E669FF" w:rsidRDefault="00E669FF" w:rsidP="00E669FF">
      <w:r w:rsidRPr="00E669FF">
        <w:t xml:space="preserve">Turid Kristine Brekke er gjenvald som leiar og Solrun Skogheim er vald som nestleiar, </w:t>
      </w:r>
      <w:proofErr w:type="spellStart"/>
      <w:r w:rsidRPr="00E669FF">
        <w:t>bekke</w:t>
      </w:r>
      <w:proofErr w:type="spellEnd"/>
      <w:r w:rsidRPr="00E669FF">
        <w:t xml:space="preserve"> for eit år.</w:t>
      </w:r>
    </w:p>
    <w:p w14:paraId="72E91E8E" w14:textId="24E90DD5" w:rsidR="00E669FF" w:rsidRDefault="001F7878" w:rsidP="00E669FF">
      <w:pPr>
        <w:rPr>
          <w:b/>
          <w:bCs/>
        </w:rPr>
      </w:pPr>
      <w:r>
        <w:rPr>
          <w:b/>
          <w:bCs/>
        </w:rPr>
        <w:t xml:space="preserve"> </w:t>
      </w:r>
      <w:r w:rsidR="00E669FF" w:rsidRPr="00A27824">
        <w:rPr>
          <w:b/>
          <w:bCs/>
        </w:rPr>
        <w:t>Sak 5/25</w:t>
      </w:r>
      <w:r w:rsidR="00E669FF" w:rsidRPr="00A27824">
        <w:rPr>
          <w:b/>
          <w:bCs/>
        </w:rPr>
        <w:tab/>
        <w:t>Kyrkjelydsbladet Helsing frå kyrkja</w:t>
      </w:r>
      <w:r w:rsidR="00E669FF">
        <w:rPr>
          <w:b/>
          <w:bCs/>
        </w:rPr>
        <w:t xml:space="preserve"> (HFK)</w:t>
      </w:r>
    </w:p>
    <w:p w14:paraId="49D8C99B" w14:textId="77777777" w:rsidR="001F7878" w:rsidRDefault="001F7878" w:rsidP="001F7878">
      <w:pPr>
        <w:rPr>
          <w:b/>
          <w:bCs/>
        </w:rPr>
      </w:pPr>
      <w:r>
        <w:rPr>
          <w:b/>
          <w:bCs/>
        </w:rPr>
        <w:t>Samrøysta vedtak</w:t>
      </w:r>
    </w:p>
    <w:p w14:paraId="75EE01A7" w14:textId="5266B91F" w:rsidR="001F7878" w:rsidRDefault="001F7878" w:rsidP="001F7878">
      <w:r>
        <w:t>Rekneskapen for kyrkjelydsbladet vert administrert som ei eiga teneste av Vik kyrkjeleg fellesråd. Dette under føresetnad av at Vik kommune godkjenner dette.</w:t>
      </w:r>
    </w:p>
    <w:p w14:paraId="260C22D8" w14:textId="0D8ECB60" w:rsidR="00E669FF" w:rsidRDefault="00E669FF" w:rsidP="00E669FF">
      <w:pPr>
        <w:rPr>
          <w:b/>
          <w:bCs/>
        </w:rPr>
      </w:pPr>
      <w:r w:rsidRPr="00A27824">
        <w:rPr>
          <w:b/>
          <w:bCs/>
        </w:rPr>
        <w:t>Sak 6/25</w:t>
      </w:r>
      <w:r w:rsidRPr="00A27824">
        <w:rPr>
          <w:b/>
          <w:bCs/>
        </w:rPr>
        <w:tab/>
        <w:t xml:space="preserve"> Universell tilkomst</w:t>
      </w:r>
      <w:r>
        <w:rPr>
          <w:b/>
          <w:bCs/>
        </w:rPr>
        <w:t xml:space="preserve"> Vik kyrkje «ein inngang for alle»</w:t>
      </w:r>
    </w:p>
    <w:p w14:paraId="3AA18E30" w14:textId="042A0F1F" w:rsidR="00E669FF" w:rsidRDefault="00901B6A" w:rsidP="00E669FF">
      <w:pPr>
        <w:rPr>
          <w:b/>
          <w:bCs/>
        </w:rPr>
      </w:pPr>
      <w:r>
        <w:rPr>
          <w:b/>
          <w:bCs/>
        </w:rPr>
        <w:t>Samrøysta vedtak</w:t>
      </w:r>
    </w:p>
    <w:p w14:paraId="62D8997B" w14:textId="77777777" w:rsidR="00E669FF" w:rsidRPr="0079465B" w:rsidRDefault="00E669FF" w:rsidP="00E669FF">
      <w:r w:rsidRPr="0079465B">
        <w:t>Vik kyrkjeleg fellesråd startar arbeidet</w:t>
      </w:r>
      <w:r>
        <w:t xml:space="preserve"> </w:t>
      </w:r>
      <w:r w:rsidRPr="0079465B">
        <w:t xml:space="preserve">sommaren 2025  med bygging av «ein inngang for alle» </w:t>
      </w:r>
      <w:r>
        <w:t xml:space="preserve">ved Vik kyrkje i </w:t>
      </w:r>
      <w:r w:rsidRPr="0079465B">
        <w:t>tråd med teikningar som ligg til grunn for godkjenning av byggeprosjektet.</w:t>
      </w:r>
      <w:r>
        <w:t xml:space="preserve">  </w:t>
      </w:r>
    </w:p>
    <w:p w14:paraId="3F1C0C4A" w14:textId="3459BD64" w:rsidR="00E669FF" w:rsidRDefault="001F7878" w:rsidP="00E669FF">
      <w:pPr>
        <w:rPr>
          <w:b/>
          <w:bCs/>
        </w:rPr>
      </w:pPr>
      <w:r>
        <w:rPr>
          <w:b/>
          <w:bCs/>
        </w:rPr>
        <w:t xml:space="preserve"> </w:t>
      </w:r>
      <w:r w:rsidR="00E669FF" w:rsidRPr="00A27824">
        <w:rPr>
          <w:b/>
          <w:bCs/>
        </w:rPr>
        <w:t xml:space="preserve">Sak 7/25 </w:t>
      </w:r>
      <w:r w:rsidR="00E669FF" w:rsidRPr="00A27824">
        <w:rPr>
          <w:b/>
          <w:bCs/>
        </w:rPr>
        <w:tab/>
      </w:r>
      <w:r w:rsidR="00E669FF">
        <w:rPr>
          <w:b/>
          <w:bCs/>
        </w:rPr>
        <w:t>Investeringsbudsjett   2025 - 2027</w:t>
      </w:r>
    </w:p>
    <w:p w14:paraId="3210398B" w14:textId="368CA1D1" w:rsidR="00E669FF" w:rsidRDefault="00901B6A" w:rsidP="00E669FF">
      <w:pPr>
        <w:rPr>
          <w:b/>
          <w:bCs/>
        </w:rPr>
      </w:pPr>
      <w:r>
        <w:rPr>
          <w:b/>
          <w:bCs/>
        </w:rPr>
        <w:t>Samrøysta vedtak</w:t>
      </w:r>
    </w:p>
    <w:p w14:paraId="337C47FD" w14:textId="79EBD662" w:rsidR="00E669FF" w:rsidRDefault="00E669FF" w:rsidP="00E669FF">
      <w:r w:rsidRPr="00C35EA6">
        <w:t xml:space="preserve">Framlegg til investeringsbudsjett for Vik kyrkjeleg fellesråd i økonomiplanperioden  vert  vedteke </w:t>
      </w:r>
      <w:r w:rsidR="001F7878">
        <w:t>med endring på budsjett i 2025 på prosjekt «ein inngang for alle» til 1 025 000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4"/>
        <w:gridCol w:w="1302"/>
        <w:gridCol w:w="1446"/>
        <w:gridCol w:w="1446"/>
        <w:gridCol w:w="1446"/>
        <w:gridCol w:w="988"/>
      </w:tblGrid>
      <w:tr w:rsidR="001F7878" w14:paraId="6D19468E" w14:textId="77777777" w:rsidTr="001F7878">
        <w:trPr>
          <w:trHeight w:val="240"/>
        </w:trPr>
        <w:tc>
          <w:tcPr>
            <w:tcW w:w="2434" w:type="dxa"/>
            <w:tcBorders>
              <w:top w:val="single" w:sz="4" w:space="0" w:color="auto"/>
            </w:tcBorders>
          </w:tcPr>
          <w:p w14:paraId="7409BF2A" w14:textId="597AD943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Investeringsbudsjett  økonomiplanperioden 2025-2028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34F7A5FF" w14:textId="77777777" w:rsidR="001F7878" w:rsidRPr="002E765C" w:rsidRDefault="001F7878" w:rsidP="00806EE2">
            <w:pPr>
              <w:rPr>
                <w:b/>
                <w:bCs/>
              </w:rPr>
            </w:pPr>
            <w:r w:rsidRPr="002E765C">
              <w:rPr>
                <w:b/>
                <w:bCs/>
              </w:rPr>
              <w:t>«Ein inngang for alle»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2BC47494" w14:textId="77777777" w:rsidR="001F7878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«Kyrkjetak</w:t>
            </w:r>
          </w:p>
          <w:p w14:paraId="1BA7E54E" w14:textId="0C1DE594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Vangsnes»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314A79F" w14:textId="77777777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«Kyrkjetak»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1A6F40C7" w14:textId="77777777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«Kyrkjetak»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914C6BE" w14:textId="77777777" w:rsidR="001F7878" w:rsidRDefault="001F7878" w:rsidP="00806EE2">
            <w:pPr>
              <w:rPr>
                <w:b/>
                <w:bCs/>
              </w:rPr>
            </w:pPr>
          </w:p>
        </w:tc>
      </w:tr>
      <w:tr w:rsidR="001F7878" w14:paraId="282B1987" w14:textId="77777777" w:rsidTr="001F7878">
        <w:tc>
          <w:tcPr>
            <w:tcW w:w="2434" w:type="dxa"/>
          </w:tcPr>
          <w:p w14:paraId="7DB4A620" w14:textId="77777777" w:rsidR="001F7878" w:rsidRPr="002E765C" w:rsidRDefault="001F7878" w:rsidP="00806EE2">
            <w:pPr>
              <w:rPr>
                <w:b/>
                <w:bCs/>
              </w:rPr>
            </w:pPr>
            <w:r w:rsidRPr="002E765C">
              <w:rPr>
                <w:b/>
                <w:bCs/>
              </w:rPr>
              <w:t>År</w:t>
            </w:r>
          </w:p>
        </w:tc>
        <w:tc>
          <w:tcPr>
            <w:tcW w:w="1302" w:type="dxa"/>
          </w:tcPr>
          <w:p w14:paraId="1656133D" w14:textId="77777777" w:rsidR="001F7878" w:rsidRPr="002E765C" w:rsidRDefault="001F7878" w:rsidP="00806EE2">
            <w:pPr>
              <w:jc w:val="center"/>
              <w:rPr>
                <w:b/>
                <w:bCs/>
              </w:rPr>
            </w:pPr>
            <w:r w:rsidRPr="002E765C">
              <w:rPr>
                <w:b/>
                <w:bCs/>
              </w:rPr>
              <w:t>2025</w:t>
            </w:r>
          </w:p>
        </w:tc>
        <w:tc>
          <w:tcPr>
            <w:tcW w:w="1446" w:type="dxa"/>
          </w:tcPr>
          <w:p w14:paraId="7F2CB724" w14:textId="77777777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446" w:type="dxa"/>
          </w:tcPr>
          <w:p w14:paraId="717AD1D1" w14:textId="77777777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1446" w:type="dxa"/>
          </w:tcPr>
          <w:p w14:paraId="0FD034F1" w14:textId="77777777" w:rsidR="001F7878" w:rsidRPr="002E765C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988" w:type="dxa"/>
          </w:tcPr>
          <w:p w14:paraId="418BB853" w14:textId="77777777" w:rsidR="001F7878" w:rsidRDefault="001F7878" w:rsidP="00806EE2">
            <w:pPr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1F7878" w14:paraId="000C04EF" w14:textId="77777777" w:rsidTr="001F7878">
        <w:tc>
          <w:tcPr>
            <w:tcW w:w="2434" w:type="dxa"/>
          </w:tcPr>
          <w:p w14:paraId="187F0D90" w14:textId="77777777" w:rsidR="001F7878" w:rsidRDefault="001F7878" w:rsidP="00806EE2">
            <w:r>
              <w:t>Utgifter</w:t>
            </w:r>
          </w:p>
        </w:tc>
        <w:tc>
          <w:tcPr>
            <w:tcW w:w="1302" w:type="dxa"/>
          </w:tcPr>
          <w:p w14:paraId="5D3805A8" w14:textId="77777777" w:rsidR="001F7878" w:rsidRDefault="001F7878" w:rsidP="00806EE2">
            <w:pPr>
              <w:jc w:val="right"/>
            </w:pPr>
            <w:r>
              <w:t xml:space="preserve"> 1 025 000</w:t>
            </w:r>
          </w:p>
        </w:tc>
        <w:tc>
          <w:tcPr>
            <w:tcW w:w="1446" w:type="dxa"/>
          </w:tcPr>
          <w:p w14:paraId="493DEEA6" w14:textId="77777777" w:rsidR="001F7878" w:rsidRDefault="001F7878" w:rsidP="00806EE2">
            <w:r>
              <w:t>3 000 000</w:t>
            </w:r>
          </w:p>
        </w:tc>
        <w:tc>
          <w:tcPr>
            <w:tcW w:w="1446" w:type="dxa"/>
          </w:tcPr>
          <w:p w14:paraId="67F9305E" w14:textId="77777777" w:rsidR="001F7878" w:rsidRDefault="001F7878" w:rsidP="00806EE2">
            <w:r>
              <w:t>3 000 000</w:t>
            </w:r>
          </w:p>
        </w:tc>
        <w:tc>
          <w:tcPr>
            <w:tcW w:w="1446" w:type="dxa"/>
          </w:tcPr>
          <w:p w14:paraId="5DC16CB9" w14:textId="77777777" w:rsidR="001F7878" w:rsidRDefault="001F7878" w:rsidP="00806EE2">
            <w:r>
              <w:t>3 000 000</w:t>
            </w:r>
          </w:p>
        </w:tc>
        <w:tc>
          <w:tcPr>
            <w:tcW w:w="988" w:type="dxa"/>
          </w:tcPr>
          <w:p w14:paraId="6074E898" w14:textId="77777777" w:rsidR="001F7878" w:rsidRDefault="001F7878" w:rsidP="00806EE2"/>
        </w:tc>
      </w:tr>
      <w:tr w:rsidR="001F7878" w14:paraId="3F765143" w14:textId="77777777" w:rsidTr="001F7878">
        <w:tc>
          <w:tcPr>
            <w:tcW w:w="2434" w:type="dxa"/>
          </w:tcPr>
          <w:p w14:paraId="68260602" w14:textId="77777777" w:rsidR="001F7878" w:rsidRDefault="001F7878" w:rsidP="00806EE2">
            <w:r>
              <w:t>Tilskot Vik kommune</w:t>
            </w:r>
          </w:p>
        </w:tc>
        <w:tc>
          <w:tcPr>
            <w:tcW w:w="1302" w:type="dxa"/>
          </w:tcPr>
          <w:p w14:paraId="15C17BFB" w14:textId="77777777" w:rsidR="001F7878" w:rsidRDefault="001F7878" w:rsidP="00806EE2">
            <w:pPr>
              <w:jc w:val="right"/>
            </w:pPr>
            <w:r>
              <w:t>- 900 000</w:t>
            </w:r>
          </w:p>
        </w:tc>
        <w:tc>
          <w:tcPr>
            <w:tcW w:w="1446" w:type="dxa"/>
          </w:tcPr>
          <w:p w14:paraId="3ABE19F6" w14:textId="77777777" w:rsidR="001F7878" w:rsidRDefault="001F7878" w:rsidP="00806EE2">
            <w:r>
              <w:t>-3 000 000</w:t>
            </w:r>
          </w:p>
        </w:tc>
        <w:tc>
          <w:tcPr>
            <w:tcW w:w="1446" w:type="dxa"/>
          </w:tcPr>
          <w:p w14:paraId="29F6BAAD" w14:textId="77777777" w:rsidR="001F7878" w:rsidRDefault="001F7878" w:rsidP="00806EE2">
            <w:r>
              <w:t>-3 000 000</w:t>
            </w:r>
          </w:p>
        </w:tc>
        <w:tc>
          <w:tcPr>
            <w:tcW w:w="1446" w:type="dxa"/>
          </w:tcPr>
          <w:p w14:paraId="79643D2F" w14:textId="77777777" w:rsidR="001F7878" w:rsidRDefault="001F7878" w:rsidP="00806EE2">
            <w:r>
              <w:t>-3 000 000</w:t>
            </w:r>
          </w:p>
        </w:tc>
        <w:tc>
          <w:tcPr>
            <w:tcW w:w="988" w:type="dxa"/>
          </w:tcPr>
          <w:p w14:paraId="158C3913" w14:textId="77777777" w:rsidR="001F7878" w:rsidRDefault="001F7878" w:rsidP="00806EE2"/>
        </w:tc>
      </w:tr>
      <w:tr w:rsidR="001F7878" w14:paraId="6F516CE0" w14:textId="77777777" w:rsidTr="001F7878">
        <w:tc>
          <w:tcPr>
            <w:tcW w:w="2434" w:type="dxa"/>
          </w:tcPr>
          <w:p w14:paraId="39185C7E" w14:textId="77777777" w:rsidR="001F7878" w:rsidRDefault="001F7878" w:rsidP="00806EE2">
            <w:r>
              <w:t>Eigenkapital</w:t>
            </w:r>
          </w:p>
        </w:tc>
        <w:tc>
          <w:tcPr>
            <w:tcW w:w="1302" w:type="dxa"/>
          </w:tcPr>
          <w:p w14:paraId="76A12FDA" w14:textId="77777777" w:rsidR="001F7878" w:rsidRDefault="001F7878" w:rsidP="00806EE2">
            <w:pPr>
              <w:jc w:val="right"/>
            </w:pPr>
            <w:r>
              <w:t>-125 000</w:t>
            </w:r>
          </w:p>
        </w:tc>
        <w:tc>
          <w:tcPr>
            <w:tcW w:w="1446" w:type="dxa"/>
          </w:tcPr>
          <w:p w14:paraId="20B5B57C" w14:textId="77777777" w:rsidR="001F7878" w:rsidRDefault="001F7878" w:rsidP="00806EE2"/>
        </w:tc>
        <w:tc>
          <w:tcPr>
            <w:tcW w:w="1446" w:type="dxa"/>
          </w:tcPr>
          <w:p w14:paraId="7600101D" w14:textId="77777777" w:rsidR="001F7878" w:rsidRDefault="001F7878" w:rsidP="00806EE2"/>
        </w:tc>
        <w:tc>
          <w:tcPr>
            <w:tcW w:w="1446" w:type="dxa"/>
          </w:tcPr>
          <w:p w14:paraId="7B771FF8" w14:textId="77777777" w:rsidR="001F7878" w:rsidRDefault="001F7878" w:rsidP="00806EE2"/>
        </w:tc>
        <w:tc>
          <w:tcPr>
            <w:tcW w:w="988" w:type="dxa"/>
          </w:tcPr>
          <w:p w14:paraId="24125B9D" w14:textId="77777777" w:rsidR="001F7878" w:rsidRDefault="001F7878" w:rsidP="00806EE2"/>
        </w:tc>
      </w:tr>
    </w:tbl>
    <w:p w14:paraId="605B3731" w14:textId="77777777" w:rsidR="001F7878" w:rsidRDefault="001F7878" w:rsidP="00E669FF">
      <w:pPr>
        <w:rPr>
          <w:b/>
          <w:bCs/>
        </w:rPr>
      </w:pPr>
    </w:p>
    <w:p w14:paraId="6745F039" w14:textId="7FA6781E" w:rsidR="00E669FF" w:rsidRDefault="001F7878" w:rsidP="00E669FF">
      <w:r>
        <w:rPr>
          <w:b/>
          <w:bCs/>
        </w:rPr>
        <w:t xml:space="preserve"> </w:t>
      </w:r>
    </w:p>
    <w:p w14:paraId="011DAEC6" w14:textId="42F5275D" w:rsidR="00E669FF" w:rsidRDefault="001F7878" w:rsidP="00E669FF">
      <w:r>
        <w:t xml:space="preserve"> </w:t>
      </w:r>
    </w:p>
    <w:p w14:paraId="5002A120" w14:textId="77777777" w:rsidR="00E669FF" w:rsidRPr="0079465B" w:rsidRDefault="00E669FF" w:rsidP="00E669FF"/>
    <w:p w14:paraId="2F6CFD82" w14:textId="77777777" w:rsidR="00E144C2" w:rsidRPr="00AB6C44" w:rsidRDefault="00E144C2" w:rsidP="00E144C2">
      <w:pPr>
        <w:pStyle w:val="Listeavsnitt"/>
        <w:rPr>
          <w:b/>
          <w:bCs/>
        </w:rPr>
      </w:pPr>
    </w:p>
    <w:sectPr w:rsidR="00E144C2" w:rsidRPr="00AB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F4E"/>
    <w:multiLevelType w:val="hybridMultilevel"/>
    <w:tmpl w:val="AE4ADD4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C2"/>
    <w:rsid w:val="00123D5A"/>
    <w:rsid w:val="001F7878"/>
    <w:rsid w:val="0034140E"/>
    <w:rsid w:val="00461EB3"/>
    <w:rsid w:val="00901B6A"/>
    <w:rsid w:val="009B0E0F"/>
    <w:rsid w:val="00AA0CA5"/>
    <w:rsid w:val="00AD0C52"/>
    <w:rsid w:val="00BA1513"/>
    <w:rsid w:val="00CF4C1B"/>
    <w:rsid w:val="00E144C2"/>
    <w:rsid w:val="00E6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EE89"/>
  <w15:chartTrackingRefBased/>
  <w15:docId w15:val="{9587E636-B8B2-403B-845F-04182F31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2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E1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E1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E1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E1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E1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E1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E1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E1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E1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1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E1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E1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E144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E144C2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E144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E144C2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E144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E144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E1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E1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E1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E1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E1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E144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44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44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E1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E144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44C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E6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2025-01-22T13:59:00Z</cp:lastPrinted>
  <dcterms:created xsi:type="dcterms:W3CDTF">2025-05-20T11:21:00Z</dcterms:created>
  <dcterms:modified xsi:type="dcterms:W3CDTF">2025-05-20T11:21:00Z</dcterms:modified>
</cp:coreProperties>
</file>